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6DC1" w14:textId="77777777" w:rsidR="00E503B5" w:rsidRDefault="00673B0E">
      <w:pPr>
        <w:jc w:val="center"/>
        <w:rPr>
          <w:b/>
        </w:rPr>
      </w:pPr>
      <w:r>
        <w:rPr>
          <w:b/>
        </w:rPr>
        <w:t>Ficha Caracterización de Buenas Prácticas en Equidad de Género en el Sector Empresarial Antioqueño</w:t>
      </w:r>
    </w:p>
    <w:p w14:paraId="615E42A1" w14:textId="77777777" w:rsidR="00E503B5" w:rsidRDefault="00E503B5">
      <w:pPr>
        <w:jc w:val="center"/>
      </w:pPr>
    </w:p>
    <w:tbl>
      <w:tblPr>
        <w:tblStyle w:val="a"/>
        <w:tblW w:w="9450" w:type="dxa"/>
        <w:jc w:val="center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6525"/>
      </w:tblGrid>
      <w:tr w:rsidR="00E503B5" w14:paraId="0598DE4C" w14:textId="77777777">
        <w:trPr>
          <w:jc w:val="center"/>
        </w:trPr>
        <w:tc>
          <w:tcPr>
            <w:tcW w:w="9450" w:type="dxa"/>
            <w:gridSpan w:val="2"/>
            <w:shd w:val="clear" w:color="auto" w:fill="4F81BD"/>
          </w:tcPr>
          <w:p w14:paraId="782EF932" w14:textId="77777777" w:rsidR="00E503B5" w:rsidRDefault="00E503B5">
            <w:pPr>
              <w:jc w:val="center"/>
              <w:rPr>
                <w:b/>
                <w:color w:val="FFFFFF"/>
              </w:rPr>
            </w:pPr>
          </w:p>
          <w:p w14:paraId="3D1AE3C8" w14:textId="77777777" w:rsidR="00E503B5" w:rsidRDefault="00673B0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CARACTERIZACIÓN DE LA EMPRESA</w:t>
            </w:r>
          </w:p>
          <w:p w14:paraId="4BA149CB" w14:textId="77777777" w:rsidR="00E503B5" w:rsidRDefault="00E503B5">
            <w:pPr>
              <w:jc w:val="center"/>
              <w:rPr>
                <w:b/>
              </w:rPr>
            </w:pPr>
          </w:p>
        </w:tc>
      </w:tr>
      <w:tr w:rsidR="00E503B5" w14:paraId="3576C5DC" w14:textId="77777777">
        <w:trPr>
          <w:jc w:val="center"/>
        </w:trPr>
        <w:tc>
          <w:tcPr>
            <w:tcW w:w="2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5494AC27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t>Nombre de la Empresa</w:t>
            </w: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669D23E4" w14:textId="77777777" w:rsidR="00E503B5" w:rsidRDefault="00673B0E">
            <w:pPr>
              <w:jc w:val="center"/>
            </w:pPr>
            <w:r>
              <w:t xml:space="preserve">Grupo </w:t>
            </w:r>
            <w:proofErr w:type="spellStart"/>
            <w:r>
              <w:t>Nutresa</w:t>
            </w:r>
            <w:proofErr w:type="spellEnd"/>
          </w:p>
        </w:tc>
      </w:tr>
      <w:tr w:rsidR="00E503B5" w14:paraId="16981985" w14:textId="77777777">
        <w:trPr>
          <w:jc w:val="center"/>
        </w:trPr>
        <w:tc>
          <w:tcPr>
            <w:tcW w:w="2925" w:type="dxa"/>
            <w:tcBorders>
              <w:bottom w:val="single" w:sz="4" w:space="0" w:color="4F81BD"/>
              <w:right w:val="single" w:sz="4" w:space="0" w:color="4F81BD"/>
            </w:tcBorders>
          </w:tcPr>
          <w:p w14:paraId="28914F35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t>Sector</w:t>
            </w:r>
          </w:p>
        </w:tc>
        <w:tc>
          <w:tcPr>
            <w:tcW w:w="6525" w:type="dxa"/>
            <w:tcBorders>
              <w:left w:val="single" w:sz="4" w:space="0" w:color="4F81BD"/>
              <w:bottom w:val="single" w:sz="4" w:space="0" w:color="4F81BD"/>
            </w:tcBorders>
          </w:tcPr>
          <w:p w14:paraId="69986643" w14:textId="77777777" w:rsidR="00E503B5" w:rsidRDefault="00673B0E">
            <w:pPr>
              <w:jc w:val="center"/>
            </w:pPr>
            <w:r>
              <w:t>Alimentos</w:t>
            </w:r>
          </w:p>
        </w:tc>
      </w:tr>
      <w:tr w:rsidR="00E503B5" w14:paraId="03C360F4" w14:textId="77777777">
        <w:trPr>
          <w:jc w:val="center"/>
        </w:trPr>
        <w:tc>
          <w:tcPr>
            <w:tcW w:w="2925" w:type="dxa"/>
            <w:tcBorders>
              <w:top w:val="single" w:sz="4" w:space="0" w:color="4F81BD"/>
              <w:right w:val="single" w:sz="4" w:space="0" w:color="4F81BD"/>
            </w:tcBorders>
          </w:tcPr>
          <w:p w14:paraId="6417BC7C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t>Tamaño de la Empresa</w:t>
            </w:r>
          </w:p>
        </w:tc>
        <w:tc>
          <w:tcPr>
            <w:tcW w:w="6525" w:type="dxa"/>
            <w:tcBorders>
              <w:top w:val="single" w:sz="4" w:space="0" w:color="4F81BD"/>
              <w:left w:val="single" w:sz="4" w:space="0" w:color="4F81BD"/>
            </w:tcBorders>
          </w:tcPr>
          <w:p w14:paraId="7DA6D196" w14:textId="77777777" w:rsidR="00E503B5" w:rsidRDefault="00673B0E">
            <w:pPr>
              <w:jc w:val="center"/>
            </w:pPr>
            <w:r>
              <w:t>Grande</w:t>
            </w:r>
          </w:p>
        </w:tc>
      </w:tr>
      <w:tr w:rsidR="00E503B5" w14:paraId="272989B8" w14:textId="77777777">
        <w:trPr>
          <w:jc w:val="center"/>
        </w:trPr>
        <w:tc>
          <w:tcPr>
            <w:tcW w:w="2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96B350C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t>Localización</w:t>
            </w: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20DF0758" w14:textId="77777777" w:rsidR="00E503B5" w:rsidRDefault="00673B0E">
            <w:pPr>
              <w:jc w:val="center"/>
            </w:pPr>
            <w:r>
              <w:t>Multinacional</w:t>
            </w:r>
          </w:p>
        </w:tc>
      </w:tr>
      <w:tr w:rsidR="00E503B5" w14:paraId="08BD7DB6" w14:textId="77777777">
        <w:trPr>
          <w:trHeight w:val="300"/>
          <w:jc w:val="center"/>
        </w:trPr>
        <w:tc>
          <w:tcPr>
            <w:tcW w:w="2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F952E02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de Empleados </w:t>
            </w: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912FE96" w14:textId="77777777" w:rsidR="00E503B5" w:rsidRDefault="00673B0E">
            <w:pPr>
              <w:jc w:val="center"/>
            </w:pPr>
            <w:r>
              <w:t>Colaboradores directos, indirectos y aprendices: 45.861</w:t>
            </w:r>
          </w:p>
        </w:tc>
      </w:tr>
      <w:tr w:rsidR="00E503B5" w14:paraId="66A2F9CD" w14:textId="77777777">
        <w:trPr>
          <w:trHeight w:val="420"/>
          <w:jc w:val="center"/>
        </w:trPr>
        <w:tc>
          <w:tcPr>
            <w:tcW w:w="2925" w:type="dxa"/>
            <w:tcBorders>
              <w:bottom w:val="single" w:sz="4" w:space="0" w:color="4F81BD"/>
              <w:right w:val="single" w:sz="4" w:space="0" w:color="4F81BD"/>
            </w:tcBorders>
          </w:tcPr>
          <w:p w14:paraId="688C71F3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t>Porcentaje de Mujeres</w:t>
            </w:r>
          </w:p>
        </w:tc>
        <w:tc>
          <w:tcPr>
            <w:tcW w:w="6525" w:type="dxa"/>
            <w:tcBorders>
              <w:left w:val="single" w:sz="4" w:space="0" w:color="4F81BD"/>
              <w:bottom w:val="single" w:sz="4" w:space="0" w:color="4F81BD"/>
            </w:tcBorders>
          </w:tcPr>
          <w:p w14:paraId="6EFC7860" w14:textId="77777777" w:rsidR="00E503B5" w:rsidRDefault="00673B0E">
            <w:pPr>
              <w:jc w:val="center"/>
            </w:pPr>
            <w:r>
              <w:t>35.8% Mujeres</w:t>
            </w:r>
          </w:p>
        </w:tc>
      </w:tr>
      <w:tr w:rsidR="00E503B5" w14:paraId="317B4354" w14:textId="77777777">
        <w:trPr>
          <w:trHeight w:val="420"/>
          <w:jc w:val="center"/>
        </w:trPr>
        <w:tc>
          <w:tcPr>
            <w:tcW w:w="2925" w:type="dxa"/>
            <w:tcBorders>
              <w:bottom w:val="single" w:sz="4" w:space="0" w:color="4F81BD"/>
              <w:right w:val="single" w:sz="4" w:space="0" w:color="4F81BD"/>
            </w:tcBorders>
          </w:tcPr>
          <w:p w14:paraId="1556224A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t>Porcentaje de Hombres</w:t>
            </w:r>
          </w:p>
        </w:tc>
        <w:tc>
          <w:tcPr>
            <w:tcW w:w="6525" w:type="dxa"/>
            <w:tcBorders>
              <w:left w:val="single" w:sz="4" w:space="0" w:color="4F81BD"/>
              <w:bottom w:val="single" w:sz="4" w:space="0" w:color="4F81BD"/>
            </w:tcBorders>
          </w:tcPr>
          <w:p w14:paraId="246E2B2E" w14:textId="77777777" w:rsidR="00E503B5" w:rsidRDefault="00673B0E">
            <w:pPr>
              <w:jc w:val="center"/>
            </w:pPr>
            <w:r>
              <w:t>64.2% Hombres</w:t>
            </w:r>
          </w:p>
        </w:tc>
      </w:tr>
      <w:tr w:rsidR="00E503B5" w14:paraId="638D9062" w14:textId="77777777">
        <w:trPr>
          <w:trHeight w:val="420"/>
          <w:jc w:val="center"/>
        </w:trPr>
        <w:tc>
          <w:tcPr>
            <w:tcW w:w="2925" w:type="dxa"/>
            <w:tcBorders>
              <w:bottom w:val="single" w:sz="4" w:space="0" w:color="4F81BD"/>
              <w:right w:val="single" w:sz="4" w:space="0" w:color="4F81BD"/>
            </w:tcBorders>
          </w:tcPr>
          <w:p w14:paraId="60D2A928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t>Datos de Contacto</w:t>
            </w:r>
          </w:p>
        </w:tc>
        <w:tc>
          <w:tcPr>
            <w:tcW w:w="6525" w:type="dxa"/>
            <w:tcBorders>
              <w:left w:val="single" w:sz="4" w:space="0" w:color="4F81BD"/>
              <w:bottom w:val="single" w:sz="4" w:space="0" w:color="4F81BD"/>
            </w:tcBorders>
          </w:tcPr>
          <w:p w14:paraId="0CB053DA" w14:textId="77777777" w:rsidR="00E503B5" w:rsidRDefault="00E503B5">
            <w:pPr>
              <w:jc w:val="center"/>
            </w:pPr>
          </w:p>
        </w:tc>
      </w:tr>
      <w:tr w:rsidR="00E503B5" w14:paraId="36FEF1E3" w14:textId="77777777">
        <w:trPr>
          <w:jc w:val="center"/>
        </w:trPr>
        <w:tc>
          <w:tcPr>
            <w:tcW w:w="94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48E8F6AA" w14:textId="77777777" w:rsidR="00E503B5" w:rsidRDefault="00E503B5">
            <w:pPr>
              <w:jc w:val="center"/>
              <w:rPr>
                <w:b/>
                <w:color w:val="FFFFFF"/>
              </w:rPr>
            </w:pPr>
          </w:p>
          <w:p w14:paraId="2C4BA349" w14:textId="77777777" w:rsidR="00E503B5" w:rsidRDefault="00673B0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CARACTERIZACIÓN DE LA BUENA PRÁCTICA</w:t>
            </w:r>
          </w:p>
          <w:p w14:paraId="6CC404F4" w14:textId="77777777" w:rsidR="00E503B5" w:rsidRDefault="00E503B5">
            <w:pPr>
              <w:jc w:val="center"/>
              <w:rPr>
                <w:b/>
              </w:rPr>
            </w:pPr>
          </w:p>
        </w:tc>
      </w:tr>
      <w:tr w:rsidR="00E503B5" w14:paraId="6223B2D5" w14:textId="77777777">
        <w:trPr>
          <w:trHeight w:val="737"/>
          <w:jc w:val="center"/>
        </w:trPr>
        <w:tc>
          <w:tcPr>
            <w:tcW w:w="2925" w:type="dxa"/>
            <w:tcBorders>
              <w:bottom w:val="single" w:sz="4" w:space="0" w:color="8496B0"/>
              <w:right w:val="single" w:sz="4" w:space="0" w:color="4F81BD"/>
            </w:tcBorders>
          </w:tcPr>
          <w:p w14:paraId="6D926502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t>Fecha de inicio de la implementación de la buena práctica</w:t>
            </w:r>
          </w:p>
        </w:tc>
        <w:tc>
          <w:tcPr>
            <w:tcW w:w="6525" w:type="dxa"/>
            <w:tcBorders>
              <w:left w:val="single" w:sz="4" w:space="0" w:color="4F81BD"/>
              <w:bottom w:val="single" w:sz="4" w:space="0" w:color="8496B0"/>
            </w:tcBorders>
          </w:tcPr>
          <w:p w14:paraId="2439EBE0" w14:textId="77777777" w:rsidR="00E503B5" w:rsidRDefault="00E503B5">
            <w:pPr>
              <w:jc w:val="center"/>
              <w:rPr>
                <w:b/>
              </w:rPr>
            </w:pPr>
          </w:p>
          <w:p w14:paraId="5D1AA473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</w:tr>
      <w:tr w:rsidR="00E503B5" w14:paraId="684784A0" w14:textId="77777777">
        <w:trPr>
          <w:jc w:val="center"/>
        </w:trPr>
        <w:tc>
          <w:tcPr>
            <w:tcW w:w="2925" w:type="dxa"/>
            <w:tcBorders>
              <w:top w:val="single" w:sz="4" w:space="0" w:color="8496B0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0E90742B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t>Nombre de la Buena Práctica</w:t>
            </w:r>
          </w:p>
        </w:tc>
        <w:tc>
          <w:tcPr>
            <w:tcW w:w="6525" w:type="dxa"/>
            <w:tcBorders>
              <w:top w:val="single" w:sz="4" w:space="0" w:color="8496B0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56C5407B" w14:textId="77777777" w:rsidR="00E503B5" w:rsidRDefault="00673B0E">
            <w:pPr>
              <w:jc w:val="center"/>
            </w:pPr>
            <w:r>
              <w:t>Diversidad e Inclusión con enfoque de equidad de género</w:t>
            </w:r>
          </w:p>
        </w:tc>
      </w:tr>
      <w:tr w:rsidR="00E503B5" w14:paraId="652D4BAC" w14:textId="77777777">
        <w:trPr>
          <w:jc w:val="center"/>
        </w:trPr>
        <w:tc>
          <w:tcPr>
            <w:tcW w:w="2925" w:type="dxa"/>
            <w:tcBorders>
              <w:right w:val="single" w:sz="4" w:space="0" w:color="4F81BD"/>
            </w:tcBorders>
          </w:tcPr>
          <w:p w14:paraId="1AB7D514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t>Problema o necesidad que se intervino</w:t>
            </w:r>
          </w:p>
        </w:tc>
        <w:tc>
          <w:tcPr>
            <w:tcW w:w="6525" w:type="dxa"/>
            <w:tcBorders>
              <w:left w:val="single" w:sz="4" w:space="0" w:color="4F81BD"/>
            </w:tcBorders>
          </w:tcPr>
          <w:p w14:paraId="197629C6" w14:textId="77777777" w:rsidR="00E503B5" w:rsidRDefault="00673B0E">
            <w:pPr>
              <w:jc w:val="center"/>
            </w:pPr>
            <w:r>
              <w:t>Cierre de brechas con enfoque de género dentro de la compañía</w:t>
            </w:r>
          </w:p>
        </w:tc>
      </w:tr>
      <w:tr w:rsidR="00E503B5" w14:paraId="74C09A65" w14:textId="77777777">
        <w:trPr>
          <w:jc w:val="center"/>
        </w:trPr>
        <w:tc>
          <w:tcPr>
            <w:tcW w:w="2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5BCEEE9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t>Antecedentes: ¿Cómo inició?</w:t>
            </w: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0C2629EE" w14:textId="77777777" w:rsidR="00E503B5" w:rsidRDefault="00673B0E">
            <w:pPr>
              <w:jc w:val="center"/>
            </w:pPr>
            <w:r>
              <w:t xml:space="preserve">2013 </w:t>
            </w:r>
            <w:proofErr w:type="spellStart"/>
            <w:r>
              <w:t>Nutresa</w:t>
            </w:r>
            <w:proofErr w:type="spellEnd"/>
            <w:r>
              <w:t xml:space="preserve"> declara públicamente el respeto por los derechos humanos. </w:t>
            </w:r>
          </w:p>
          <w:p w14:paraId="2F23354D" w14:textId="77777777" w:rsidR="00E503B5" w:rsidRDefault="00673B0E">
            <w:pPr>
              <w:jc w:val="center"/>
            </w:pPr>
            <w:r>
              <w:t xml:space="preserve">2014 </w:t>
            </w:r>
            <w:proofErr w:type="spellStart"/>
            <w:r>
              <w:t>Nutresa</w:t>
            </w:r>
            <w:proofErr w:type="spellEnd"/>
            <w:r>
              <w:t xml:space="preserve"> crea la Política de Diversidad e Inclusión: inició con la identificación de dife</w:t>
            </w:r>
            <w:r>
              <w:t xml:space="preserve">rentes dimensiones de la diversidad, como raza, género, edad, sexualidad, contexto político y estudio. </w:t>
            </w:r>
          </w:p>
        </w:tc>
      </w:tr>
      <w:tr w:rsidR="00E503B5" w14:paraId="6BB64759" w14:textId="77777777">
        <w:trPr>
          <w:jc w:val="center"/>
        </w:trPr>
        <w:tc>
          <w:tcPr>
            <w:tcW w:w="2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BF00337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t>Descripción de la buena práctica ¿En qué consiste?</w:t>
            </w: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61B80575" w14:textId="77777777" w:rsidR="00E503B5" w:rsidRDefault="00673B0E">
            <w:pPr>
              <w:jc w:val="center"/>
            </w:pPr>
            <w:r>
              <w:t xml:space="preserve">Contar un sistema de gestión integral donde se aborden temas de inclusión y equidad de género y equidad en todos los frentes de gestión humana con el fin de generar espacios laborales libres de sesgos y aprovechar la diversidad. </w:t>
            </w:r>
          </w:p>
        </w:tc>
      </w:tr>
      <w:tr w:rsidR="00E503B5" w14:paraId="2AFB8254" w14:textId="77777777">
        <w:trPr>
          <w:jc w:val="center"/>
        </w:trPr>
        <w:tc>
          <w:tcPr>
            <w:tcW w:w="2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4ADC061C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t>Alianzas existentes en el</w:t>
            </w:r>
            <w:r>
              <w:rPr>
                <w:b/>
              </w:rPr>
              <w:t xml:space="preserve"> marco de la experiencia</w:t>
            </w: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75E345D9" w14:textId="77777777" w:rsidR="00E503B5" w:rsidRDefault="00673B0E">
            <w:pPr>
              <w:jc w:val="center"/>
            </w:pPr>
            <w:r>
              <w:t xml:space="preserve">Equipares, </w:t>
            </w:r>
            <w:proofErr w:type="spellStart"/>
            <w:r>
              <w:t>Aequales</w:t>
            </w:r>
            <w:proofErr w:type="spellEnd"/>
            <w:r>
              <w:t xml:space="preserve">, ANDI, CESA, PNUD, Consultores Externos. </w:t>
            </w:r>
          </w:p>
        </w:tc>
      </w:tr>
      <w:tr w:rsidR="00E503B5" w14:paraId="3F7A2900" w14:textId="77777777">
        <w:trPr>
          <w:jc w:val="center"/>
        </w:trPr>
        <w:tc>
          <w:tcPr>
            <w:tcW w:w="2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0DC3AAF5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t>Beneficios o resultados obtenidos en la empresa</w:t>
            </w: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268235B3" w14:textId="77777777" w:rsidR="00E503B5" w:rsidRDefault="00673B0E">
            <w:pPr>
              <w:jc w:val="center"/>
            </w:pPr>
            <w:r>
              <w:t>Sello Oro de Equipares, Ranking PAR</w:t>
            </w:r>
          </w:p>
          <w:p w14:paraId="6C52CC72" w14:textId="77777777" w:rsidR="00E503B5" w:rsidRDefault="00673B0E">
            <w:pPr>
              <w:jc w:val="center"/>
            </w:pPr>
            <w:r>
              <w:lastRenderedPageBreak/>
              <w:t>Sistema de gestión que busca generar equidad de género en la empresa y cerrar brecha</w:t>
            </w:r>
            <w:r>
              <w:t xml:space="preserve">s en cada etapa del ciclo de gestión humana. </w:t>
            </w:r>
          </w:p>
        </w:tc>
      </w:tr>
      <w:tr w:rsidR="00E503B5" w14:paraId="2705A7AF" w14:textId="77777777">
        <w:trPr>
          <w:jc w:val="center"/>
        </w:trPr>
        <w:tc>
          <w:tcPr>
            <w:tcW w:w="2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4C83BAF1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Acciones de mejora o lecciones aprendidas en el proceso</w:t>
            </w: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74A79680" w14:textId="77777777" w:rsidR="00E503B5" w:rsidRDefault="00673B0E">
            <w:pPr>
              <w:rPr>
                <w:b/>
              </w:rPr>
            </w:pPr>
            <w:r>
              <w:rPr>
                <w:b/>
              </w:rPr>
              <w:t xml:space="preserve">Para Grupo </w:t>
            </w:r>
            <w:proofErr w:type="spellStart"/>
            <w:r>
              <w:rPr>
                <w:b/>
              </w:rPr>
              <w:t>Nutresa</w:t>
            </w:r>
            <w:proofErr w:type="spellEnd"/>
            <w:r>
              <w:rPr>
                <w:b/>
              </w:rPr>
              <w:t xml:space="preserve"> es fundamental el desarrollo de una cultura de trabajo que aprecie la diversidad y propicie equipos de trabajo más incluyentes, creativos y flexibles que generen valor y competitividad. Por tal motivo se cuenta con programas de vinculaci</w:t>
            </w:r>
            <w:r>
              <w:rPr>
                <w:b/>
              </w:rPr>
              <w:t xml:space="preserve">ón que promueven ambientes laborales diversos, sin </w:t>
            </w:r>
            <w:proofErr w:type="spellStart"/>
            <w:r>
              <w:rPr>
                <w:b/>
              </w:rPr>
              <w:t>discriminacion</w:t>
            </w:r>
            <w:proofErr w:type="spellEnd"/>
            <w:r>
              <w:rPr>
                <w:b/>
              </w:rPr>
              <w:t xml:space="preserve"> y acoso.</w:t>
            </w:r>
          </w:p>
          <w:p w14:paraId="5C459C5E" w14:textId="77777777" w:rsidR="00E503B5" w:rsidRDefault="00E503B5">
            <w:pPr>
              <w:ind w:left="720"/>
            </w:pPr>
          </w:p>
          <w:p w14:paraId="758CA354" w14:textId="77777777" w:rsidR="00E503B5" w:rsidRDefault="00673B0E">
            <w:r>
              <w:t>Las iniciativas de la diversidad e inclusión y cierre de brechas en materia de equidad de género se realizan a través de la promoción de igualdad de oportunidades, el desarrollo del liderazgo femenino, el trabajo en la corresponsabilidad familiar, acompaña</w:t>
            </w:r>
            <w:r>
              <w:t>miento a hombres y mujeres con herramientas para afrontar los desafíos del trabajo en casa.</w:t>
            </w:r>
          </w:p>
          <w:p w14:paraId="2F62BDE9" w14:textId="77777777" w:rsidR="00E503B5" w:rsidRDefault="00E503B5"/>
          <w:p w14:paraId="7A1C58CD" w14:textId="77777777" w:rsidR="00E503B5" w:rsidRDefault="00673B0E">
            <w:r>
              <w:t xml:space="preserve">Algunas son: </w:t>
            </w:r>
          </w:p>
          <w:p w14:paraId="2C87A36A" w14:textId="77777777" w:rsidR="00E503B5" w:rsidRDefault="00E503B5">
            <w:pPr>
              <w:ind w:left="720"/>
              <w:rPr>
                <w:b/>
              </w:rPr>
            </w:pPr>
          </w:p>
          <w:p w14:paraId="6A94E58F" w14:textId="77777777" w:rsidR="00E503B5" w:rsidRDefault="00673B0E">
            <w:pPr>
              <w:numPr>
                <w:ilvl w:val="0"/>
                <w:numId w:val="1"/>
              </w:numPr>
            </w:pPr>
            <w:r>
              <w:rPr>
                <w:b/>
              </w:rPr>
              <w:t xml:space="preserve">Selección: </w:t>
            </w:r>
            <w:r>
              <w:t>procesos de reclutamiento y selección incluyentes, objetivos, que aseguren el enfoque de competencias en cada uno de los pasos del proces</w:t>
            </w:r>
            <w:r>
              <w:t>o, eliminando toda clase de criterios. Se ha alcanzado la paridad en los procesos de selección con el aumento de participación de la mujer.</w:t>
            </w:r>
          </w:p>
          <w:p w14:paraId="6D3786CC" w14:textId="77777777" w:rsidR="00E503B5" w:rsidRDefault="00673B0E">
            <w:pPr>
              <w:numPr>
                <w:ilvl w:val="0"/>
                <w:numId w:val="1"/>
              </w:numPr>
            </w:pPr>
            <w:r>
              <w:rPr>
                <w:b/>
              </w:rPr>
              <w:t xml:space="preserve">Promoción y desarrollo: </w:t>
            </w:r>
            <w:r>
              <w:t xml:space="preserve">Contar con procesos de promoción y desarrollo objetivos, claros y transparentes, con el fin </w:t>
            </w:r>
            <w:r>
              <w:t>de brindar oportunidades reales de promoción, movilidad y ascenso a todos los colaboradores (as) de la empresa, haciendo énfasis en los cargos y niveles con mayor segregación ocupacional. Se ha aumentado el aumento de mujeres promovidas al igual que fortal</w:t>
            </w:r>
            <w:r>
              <w:t xml:space="preserve">ecido los programas de liderazgo femenino y semillero de mujeres de alto potencial. </w:t>
            </w:r>
          </w:p>
          <w:p w14:paraId="063B36E0" w14:textId="77777777" w:rsidR="00E503B5" w:rsidRDefault="00673B0E">
            <w:pPr>
              <w:numPr>
                <w:ilvl w:val="0"/>
                <w:numId w:val="1"/>
              </w:numPr>
            </w:pPr>
            <w:r>
              <w:rPr>
                <w:b/>
              </w:rPr>
              <w:t xml:space="preserve">Formación: </w:t>
            </w:r>
            <w:r>
              <w:t>programas de formación que aporten al crecimiento profesional y personal de los colaboradores y colaboradoras, y a la equidad de género. Anualmente realizamos e</w:t>
            </w:r>
            <w:r>
              <w:t xml:space="preserve">spacios de formación en sesgos inconscientes, nuevas masculinidades, entre otros. </w:t>
            </w:r>
          </w:p>
          <w:p w14:paraId="28B4DF1B" w14:textId="77777777" w:rsidR="00E503B5" w:rsidRDefault="00673B0E">
            <w:pPr>
              <w:numPr>
                <w:ilvl w:val="0"/>
                <w:numId w:val="1"/>
              </w:numPr>
            </w:pPr>
            <w:r>
              <w:rPr>
                <w:b/>
              </w:rPr>
              <w:t xml:space="preserve">Remuneración: </w:t>
            </w:r>
            <w:r>
              <w:t xml:space="preserve">Tener un esquema de asignación salarial claro y transparente que asegure que las retribuciones, </w:t>
            </w:r>
            <w:r>
              <w:lastRenderedPageBreak/>
              <w:t xml:space="preserve">sueldos y salarios para el personal con las mismas funciones o </w:t>
            </w:r>
            <w:r>
              <w:t xml:space="preserve">responsabilidades sean iguales. Periódicamente se hace monitoreo del índice de segregación salarial buscando reducir la brecha entre personas que desempeñen el mismo cargo y monitoreamos que haya equidad entre mujeres y hombres. </w:t>
            </w:r>
          </w:p>
          <w:p w14:paraId="3DDFDD55" w14:textId="77777777" w:rsidR="00E503B5" w:rsidRDefault="00673B0E">
            <w:pPr>
              <w:numPr>
                <w:ilvl w:val="0"/>
                <w:numId w:val="1"/>
              </w:numPr>
            </w:pPr>
            <w:r>
              <w:rPr>
                <w:b/>
              </w:rPr>
              <w:t>Conciliación vida laboral,</w:t>
            </w:r>
            <w:r>
              <w:rPr>
                <w:b/>
              </w:rPr>
              <w:t xml:space="preserve"> personal y familiar: </w:t>
            </w:r>
            <w:r>
              <w:t xml:space="preserve">Fomentar la corresponsabilidad y </w:t>
            </w:r>
            <w:proofErr w:type="spellStart"/>
            <w:r>
              <w:t>coparentalidad</w:t>
            </w:r>
            <w:proofErr w:type="spellEnd"/>
            <w:r>
              <w:t xml:space="preserve"> de los colaboradores/as disponiendo de medidas que fomenten un adecuado balance vida-trabajo en todos los cargos y niveles de la organización. Se ofrecen bonos de tiempo durante el año p</w:t>
            </w:r>
            <w:r>
              <w:t>ara que tanto hombres y mujeres puedan utilizarlos para compartir espacios con sus familias, se ofrece una hora de lactancia adicional a las mujeres, contamos con portafolio de horarios flexibles, entre otros.</w:t>
            </w:r>
          </w:p>
          <w:p w14:paraId="503AED81" w14:textId="77777777" w:rsidR="00E503B5" w:rsidRDefault="00673B0E">
            <w:pPr>
              <w:numPr>
                <w:ilvl w:val="0"/>
                <w:numId w:val="1"/>
              </w:numPr>
            </w:pPr>
            <w:r>
              <w:rPr>
                <w:b/>
              </w:rPr>
              <w:t xml:space="preserve">Ambiente laboral y salud: </w:t>
            </w:r>
            <w:r>
              <w:t>velar por el bienest</w:t>
            </w:r>
            <w:r>
              <w:t xml:space="preserve">ar del personal y garantizar ambientes de trabajo agradables e incluyentes, permitiendo que tanto hombres como mujeres puedan realizar sus funciones de la manera más adecuada. Se cuenta con una </w:t>
            </w:r>
            <w:proofErr w:type="spellStart"/>
            <w:r>
              <w:t>linea</w:t>
            </w:r>
            <w:proofErr w:type="spellEnd"/>
            <w:r>
              <w:t xml:space="preserve"> de atención 24/7 llamada </w:t>
            </w:r>
            <w:proofErr w:type="spellStart"/>
            <w:r>
              <w:t>Acompañandote</w:t>
            </w:r>
            <w:proofErr w:type="spellEnd"/>
            <w:r>
              <w:t xml:space="preserve"> para atender caso</w:t>
            </w:r>
            <w:r>
              <w:t xml:space="preserve">s de emergencias en nuestros </w:t>
            </w:r>
            <w:proofErr w:type="spellStart"/>
            <w:r>
              <w:t>colaboradres</w:t>
            </w:r>
            <w:proofErr w:type="spellEnd"/>
            <w:r>
              <w:t xml:space="preserve"> y familias, se promueve la </w:t>
            </w:r>
            <w:proofErr w:type="spellStart"/>
            <w:r>
              <w:t>prevencion</w:t>
            </w:r>
            <w:proofErr w:type="spellEnd"/>
            <w:r>
              <w:t xml:space="preserve"> de enfermedades </w:t>
            </w:r>
            <w:proofErr w:type="spellStart"/>
            <w:r>
              <w:t>segun</w:t>
            </w:r>
            <w:proofErr w:type="spellEnd"/>
            <w:r>
              <w:t xml:space="preserve"> sexo como </w:t>
            </w:r>
            <w:proofErr w:type="spellStart"/>
            <w:r>
              <w:t>cancer</w:t>
            </w:r>
            <w:proofErr w:type="spellEnd"/>
            <w:r>
              <w:t xml:space="preserve"> de mama o </w:t>
            </w:r>
            <w:proofErr w:type="spellStart"/>
            <w:r>
              <w:t>prostata</w:t>
            </w:r>
            <w:proofErr w:type="spellEnd"/>
            <w:r>
              <w:t xml:space="preserve">, plataforma virtual para </w:t>
            </w:r>
            <w:proofErr w:type="spellStart"/>
            <w:r>
              <w:t>pomoveer</w:t>
            </w:r>
            <w:proofErr w:type="spellEnd"/>
            <w:r>
              <w:t xml:space="preserve"> experiencias que mejoren la salud mental, </w:t>
            </w:r>
            <w:proofErr w:type="spellStart"/>
            <w:r>
              <w:t>fiscia</w:t>
            </w:r>
            <w:proofErr w:type="spellEnd"/>
            <w:r>
              <w:t xml:space="preserve"> y emocional. </w:t>
            </w:r>
          </w:p>
          <w:p w14:paraId="7FB64FB7" w14:textId="77777777" w:rsidR="00E503B5" w:rsidRDefault="00673B0E">
            <w:pPr>
              <w:numPr>
                <w:ilvl w:val="0"/>
                <w:numId w:val="1"/>
              </w:numPr>
            </w:pPr>
            <w:r>
              <w:rPr>
                <w:b/>
              </w:rPr>
              <w:t>Comunicación incluyen</w:t>
            </w:r>
            <w:r>
              <w:rPr>
                <w:b/>
              </w:rPr>
              <w:t>te:</w:t>
            </w:r>
            <w:r>
              <w:t xml:space="preserve"> Asegurar que toda comunicación interna o externa esté libre de sesgos de género, que utilice lenguaje incluyente e imágenes no sexistas  y que no atente contra la dignidad e integridad de las personas. Contamos con un manual de lenguaje incluyente, se </w:t>
            </w:r>
            <w:r>
              <w:t xml:space="preserve">implementan piezas de comunicación con imágenes y lenguaje que buscan un balance de género, entre otros. </w:t>
            </w:r>
          </w:p>
          <w:p w14:paraId="101D283A" w14:textId="77777777" w:rsidR="00E503B5" w:rsidRDefault="00673B0E">
            <w:pPr>
              <w:numPr>
                <w:ilvl w:val="0"/>
                <w:numId w:val="1"/>
              </w:numPr>
            </w:pPr>
            <w:r>
              <w:rPr>
                <w:b/>
              </w:rPr>
              <w:t xml:space="preserve">Acoso Laboral y Sexual: </w:t>
            </w:r>
            <w:r>
              <w:t xml:space="preserve"> Eliminar toda forma de acoso sexual y laboral mediante la promoción de los mecanismos de denuncia creados para tal fin y el f</w:t>
            </w:r>
            <w:r>
              <w:t xml:space="preserve">omento de una cultura cero tolerante con este tipo de comportamientos. Se implementó un Compromiso de </w:t>
            </w:r>
            <w:r>
              <w:lastRenderedPageBreak/>
              <w:t>Cero Acoso, se realizan formaciones sobre el acoso laboral y sexual y se hace constante seguimiento a denuncias que puedan ser reportadas al igual que los</w:t>
            </w:r>
            <w:r>
              <w:t xml:space="preserve"> canales de denuncia. </w:t>
            </w:r>
          </w:p>
          <w:p w14:paraId="499CFF94" w14:textId="77777777" w:rsidR="00E503B5" w:rsidRDefault="00E503B5"/>
        </w:tc>
      </w:tr>
      <w:tr w:rsidR="00E503B5" w14:paraId="67B370B8" w14:textId="77777777">
        <w:trPr>
          <w:jc w:val="center"/>
        </w:trPr>
        <w:tc>
          <w:tcPr>
            <w:tcW w:w="2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EFEB307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¿Existe un proceso de divulgación o socialización de la buena práctica? ¿Cómo se realiza?</w:t>
            </w: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2C26CDD7" w14:textId="77777777" w:rsidR="00E503B5" w:rsidRDefault="00673B0E">
            <w:pPr>
              <w:jc w:val="center"/>
            </w:pPr>
            <w:r>
              <w:t xml:space="preserve">Si, se realiza por medio de comunicación externa e interna, mención en el informe de sostenibilidad anual.  </w:t>
            </w:r>
          </w:p>
        </w:tc>
      </w:tr>
      <w:tr w:rsidR="00E503B5" w14:paraId="7C5C5B5B" w14:textId="77777777">
        <w:trPr>
          <w:jc w:val="center"/>
        </w:trPr>
        <w:tc>
          <w:tcPr>
            <w:tcW w:w="2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69F824D9" w14:textId="77777777" w:rsidR="00E503B5" w:rsidRDefault="00673B0E">
            <w:pPr>
              <w:jc w:val="center"/>
              <w:rPr>
                <w:b/>
              </w:rPr>
            </w:pPr>
            <w:r>
              <w:rPr>
                <w:b/>
              </w:rPr>
              <w:t xml:space="preserve">De ser replicable la experiencia ¿Cuáles son los criterios de </w:t>
            </w:r>
            <w:proofErr w:type="spellStart"/>
            <w:r>
              <w:rPr>
                <w:b/>
              </w:rPr>
              <w:t>replicabilidad</w:t>
            </w:r>
            <w:proofErr w:type="spellEnd"/>
            <w:r>
              <w:rPr>
                <w:b/>
              </w:rPr>
              <w:t>? ¿Quiénes pueden hacerlo?</w:t>
            </w: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6FAA8926" w14:textId="77777777" w:rsidR="00E503B5" w:rsidRDefault="00673B0E">
            <w:pPr>
              <w:jc w:val="center"/>
            </w:pPr>
            <w:r>
              <w:t>Es una práctica replicable para todas las e</w:t>
            </w:r>
            <w:r>
              <w:t xml:space="preserve">mpresas en sus departamentos de gestión humana y áreas de liderazgo. </w:t>
            </w:r>
          </w:p>
        </w:tc>
      </w:tr>
    </w:tbl>
    <w:p w14:paraId="7E29A944" w14:textId="77777777" w:rsidR="00E503B5" w:rsidRDefault="00E503B5">
      <w:pPr>
        <w:jc w:val="center"/>
      </w:pPr>
    </w:p>
    <w:sectPr w:rsidR="00E503B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9356" w14:textId="77777777" w:rsidR="00673B0E" w:rsidRDefault="00673B0E">
      <w:r>
        <w:separator/>
      </w:r>
    </w:p>
  </w:endnote>
  <w:endnote w:type="continuationSeparator" w:id="0">
    <w:p w14:paraId="2F59C7E2" w14:textId="77777777" w:rsidR="00673B0E" w:rsidRDefault="0067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F4CB" w14:textId="77777777" w:rsidR="00E503B5" w:rsidRDefault="00673B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0BCACFFC" wp14:editId="7E999BDC">
          <wp:extent cx="889000" cy="889000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65FD324B" wp14:editId="3D7F4C53">
          <wp:extent cx="914400" cy="914400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579FE744" wp14:editId="2C77F0C0">
          <wp:extent cx="1374168" cy="91500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168" cy="915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7A7D" w14:textId="77777777" w:rsidR="00673B0E" w:rsidRDefault="00673B0E">
      <w:r>
        <w:separator/>
      </w:r>
    </w:p>
  </w:footnote>
  <w:footnote w:type="continuationSeparator" w:id="0">
    <w:p w14:paraId="35085D4A" w14:textId="77777777" w:rsidR="00673B0E" w:rsidRDefault="00673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A0CE" w14:textId="77777777" w:rsidR="00E503B5" w:rsidRDefault="00E503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256EE5A4" w14:textId="77777777" w:rsidR="00E503B5" w:rsidRDefault="00E503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331"/>
    <w:multiLevelType w:val="multilevel"/>
    <w:tmpl w:val="4838F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B5"/>
    <w:rsid w:val="0009544C"/>
    <w:rsid w:val="00673B0E"/>
    <w:rsid w:val="00E5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67D03"/>
  <w15:docId w15:val="{516C7979-C3D7-ED45-93B7-5ABA2F1D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73E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E00"/>
  </w:style>
  <w:style w:type="paragraph" w:styleId="Piedepgina">
    <w:name w:val="footer"/>
    <w:basedOn w:val="Normal"/>
    <w:link w:val="PiedepginaCar"/>
    <w:uiPriority w:val="99"/>
    <w:unhideWhenUsed/>
    <w:rsid w:val="00373E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E0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lhV4N5BSVbFrhPTBvGor5Hen7Q==">AMUW2mUih5B7lYl0R4J7ULRiD+0gSkL/ZFxzbdmNCntEk9mtGj4KkPhAnqyjAqLc945bkgjYy+qoY5ZHaC6hgxMS4aPyoYL/hVyGULJkz2W8LAiRQAoE4c0=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5102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Paola Rojas Bermeo</dc:creator>
  <cp:lastModifiedBy>Diana Paola Rojas Bermeo</cp:lastModifiedBy>
  <cp:revision>2</cp:revision>
  <dcterms:created xsi:type="dcterms:W3CDTF">2021-09-15T00:41:00Z</dcterms:created>
  <dcterms:modified xsi:type="dcterms:W3CDTF">2021-09-15T00:41:00Z</dcterms:modified>
</cp:coreProperties>
</file>